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01" w:rsidRPr="00F84B01" w:rsidRDefault="00F84B01" w:rsidP="00F84B01">
      <w:pPr>
        <w:pBdr>
          <w:bottom w:val="single" w:sz="8" w:space="4" w:color="D34817"/>
        </w:pBdr>
        <w:spacing w:after="120"/>
        <w:contextualSpacing/>
        <w:rPr>
          <w:rFonts w:ascii="Calibri" w:eastAsia="Times New Roman" w:hAnsi="Calibri" w:cs="Times New Roman"/>
          <w:b/>
          <w:bCs/>
          <w:color w:val="9D3511"/>
          <w:sz w:val="28"/>
          <w:szCs w:val="28"/>
        </w:rPr>
      </w:pPr>
      <w:r w:rsidRPr="00F84B01">
        <w:rPr>
          <w:rFonts w:ascii="Calibri" w:eastAsia="Arial" w:hAnsi="Calibri" w:cs="Times New Roman"/>
          <w:b/>
          <w:color w:val="4E4A4A"/>
          <w:spacing w:val="5"/>
          <w:kern w:val="28"/>
          <w:sz w:val="32"/>
          <w:szCs w:val="32"/>
        </w:rPr>
        <w:t>English-BA</w:t>
      </w:r>
      <w:r w:rsidR="007D5D8C">
        <w:rPr>
          <w:rFonts w:ascii="Calibri" w:eastAsia="Arial" w:hAnsi="Calibri" w:cs="Times New Roman"/>
          <w:b/>
          <w:color w:val="4E4A4A"/>
          <w:spacing w:val="5"/>
          <w:kern w:val="28"/>
          <w:sz w:val="32"/>
          <w:szCs w:val="32"/>
        </w:rPr>
        <w:t>: Major Assessment Plan</w:t>
      </w:r>
      <w:r w:rsidR="00875907">
        <w:rPr>
          <w:rFonts w:ascii="Calibri" w:eastAsia="Arial" w:hAnsi="Calibri" w:cs="Times New Roman"/>
          <w:b/>
          <w:color w:val="4E4A4A"/>
          <w:spacing w:val="5"/>
          <w:kern w:val="28"/>
          <w:sz w:val="32"/>
          <w:szCs w:val="32"/>
        </w:rPr>
        <w:t>, November 2013</w:t>
      </w:r>
    </w:p>
    <w:p w:rsidR="00F84B01" w:rsidRPr="00F84B01" w:rsidRDefault="00F84B01" w:rsidP="00F84B01">
      <w:pPr>
        <w:spacing w:after="0"/>
        <w:rPr>
          <w:rFonts w:ascii="Calibri" w:eastAsia="Times New Roman" w:hAnsi="Calibri" w:cs="Times New Roman"/>
        </w:rPr>
      </w:pPr>
    </w:p>
    <w:p w:rsidR="00F84B01" w:rsidRPr="00F84B01" w:rsidRDefault="00F84B01" w:rsidP="00F84B01">
      <w:pPr>
        <w:tabs>
          <w:tab w:val="left" w:pos="1665"/>
        </w:tabs>
        <w:spacing w:after="0"/>
        <w:rPr>
          <w:rFonts w:ascii="Calibri" w:eastAsia="Times New Roman" w:hAnsi="Calibri" w:cs="Times New Roman"/>
          <w:b/>
          <w:sz w:val="28"/>
          <w:szCs w:val="28"/>
        </w:rPr>
      </w:pPr>
      <w:r w:rsidRPr="00F84B01">
        <w:rPr>
          <w:rFonts w:ascii="Calibri" w:eastAsia="Times New Roman" w:hAnsi="Calibri" w:cs="Times New Roman"/>
          <w:b/>
          <w:sz w:val="28"/>
          <w:szCs w:val="28"/>
          <w:u w:val="single"/>
        </w:rPr>
        <w:t>Goal 1: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 xml:space="preserve"> Students exhibit broad knowledge, understanding, and appreciation of literatures written in English, especially the British and American traditions, including main literary-historical periods, major authors, and history of the English language.</w:t>
      </w:r>
    </w:p>
    <w:p w:rsidR="00F84B01" w:rsidRPr="00F84B01" w:rsidRDefault="00F84B01" w:rsidP="00F84B01">
      <w:pPr>
        <w:spacing w:after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6120"/>
      </w:tblGrid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Methods: Means/Methods</w:t>
            </w:r>
          </w:p>
        </w:tc>
        <w:tc>
          <w:tcPr>
            <w:tcW w:w="6120" w:type="dxa"/>
            <w:vAlign w:val="bottom"/>
          </w:tcPr>
          <w:p w:rsidR="00F84B01" w:rsidRPr="00F84B01" w:rsidRDefault="00C97723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Require all </w:t>
            </w:r>
            <w:r w:rsidR="004F2365">
              <w:rPr>
                <w:rFonts w:ascii="Calibri" w:eastAsia="Times New Roman" w:hAnsi="Calibri" w:cs="Calibri"/>
                <w:color w:val="000000"/>
              </w:rPr>
              <w:t xml:space="preserve">English majors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to </w:t>
            </w:r>
            <w:r w:rsidR="000F04B4">
              <w:rPr>
                <w:rFonts w:ascii="Calibri" w:eastAsia="Times New Roman" w:hAnsi="Calibri" w:cs="Calibri"/>
                <w:color w:val="000000"/>
              </w:rPr>
              <w:t xml:space="preserve">take </w:t>
            </w:r>
            <w:r w:rsidR="004F2365">
              <w:rPr>
                <w:rFonts w:ascii="Calibri" w:eastAsia="Times New Roman" w:hAnsi="Calibri" w:cs="Calibri"/>
                <w:color w:val="000000"/>
              </w:rPr>
              <w:t>survey courses in British and American literary history and a diversity course;</w:t>
            </w:r>
            <w:r w:rsidR="00F84B01" w:rsidRPr="00F84B01">
              <w:rPr>
                <w:rFonts w:ascii="Calibri" w:eastAsia="Times New Roman" w:hAnsi="Calibri" w:cs="Calibri"/>
                <w:color w:val="000000"/>
              </w:rPr>
              <w:t xml:space="preserve"> review of student programs plans b</w:t>
            </w:r>
            <w:r w:rsidR="004F2365">
              <w:rPr>
                <w:rFonts w:ascii="Calibri" w:eastAsia="Times New Roman" w:hAnsi="Calibri" w:cs="Calibri"/>
                <w:color w:val="000000"/>
              </w:rPr>
              <w:t>y a professional academic adviso</w:t>
            </w:r>
            <w:r w:rsidR="00F84B01" w:rsidRPr="00F84B01">
              <w:rPr>
                <w:rFonts w:ascii="Calibri" w:eastAsia="Times New Roman" w:hAnsi="Calibri" w:cs="Calibri"/>
                <w:color w:val="000000"/>
              </w:rPr>
              <w:t>r.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Criteria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>Ensure coherent and cohesive major programs on completion.  Facilitate ongoing faculty interaction with undergraduates as well as enhanced opportunities for mentorship in program areas and research.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Planned Use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 xml:space="preserve">Results and findings are considered and discussed in UGS committee and circulated among all </w:t>
            </w:r>
            <w:proofErr w:type="gramStart"/>
            <w:r w:rsidRPr="00F84B01">
              <w:rPr>
                <w:rFonts w:ascii="Calibri" w:eastAsia="Times New Roman" w:hAnsi="Calibri" w:cs="Calibri"/>
                <w:color w:val="000000"/>
              </w:rPr>
              <w:t>faculty</w:t>
            </w:r>
            <w:proofErr w:type="gramEnd"/>
            <w:r w:rsidRPr="00F84B01">
              <w:rPr>
                <w:rFonts w:ascii="Calibri" w:eastAsia="Times New Roman" w:hAnsi="Calibri" w:cs="Calibri"/>
                <w:color w:val="000000"/>
              </w:rPr>
              <w:t>. Discussions continue in English Department Council (EDC) meetings and recommendations for curricular changes are made to the Chair for discussion by Executive Committee and future EDC meetings.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Implementation Schedule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>Ongoing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Evidence</w:t>
            </w:r>
          </w:p>
        </w:tc>
        <w:tc>
          <w:tcPr>
            <w:tcW w:w="6120" w:type="dxa"/>
            <w:vAlign w:val="bottom"/>
          </w:tcPr>
          <w:p w:rsidR="00F84B01" w:rsidRPr="00F84B01" w:rsidRDefault="004F2365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Assess random samples of student work against a grading rubric</w:t>
            </w:r>
            <w:r w:rsidR="007A6A9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 xml:space="preserve">     Met Minimum Criteria?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ind w:left="288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Met Criteria for Excellence?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Review of Findings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Changes Made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Assessment of Changes Made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Next Steps</w:t>
            </w:r>
          </w:p>
        </w:tc>
        <w:tc>
          <w:tcPr>
            <w:tcW w:w="6120" w:type="dxa"/>
            <w:vAlign w:val="bottom"/>
          </w:tcPr>
          <w:p w:rsidR="00F84B01" w:rsidRPr="00F84B01" w:rsidRDefault="004F2365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Approval of the new major</w:t>
            </w:r>
            <w:r w:rsidR="00693AD1">
              <w:rPr>
                <w:rFonts w:ascii="Calibri" w:eastAsia="Times New Roman" w:hAnsi="Calibri" w:cs="Calibri"/>
                <w:color w:val="000000"/>
              </w:rPr>
              <w:t>; survey of students to ensure best means for delivery of course content</w:t>
            </w:r>
            <w:r w:rsidR="007A6A9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F84B01" w:rsidRPr="00F84B01" w:rsidRDefault="00F84B01" w:rsidP="00F84B01">
      <w:pPr>
        <w:spacing w:after="0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F84B01" w:rsidRPr="00F84B01" w:rsidRDefault="00F84B01" w:rsidP="00F84B01">
      <w:pPr>
        <w:tabs>
          <w:tab w:val="left" w:pos="1665"/>
        </w:tabs>
        <w:spacing w:after="0"/>
        <w:rPr>
          <w:rFonts w:ascii="Calibri" w:eastAsia="Times New Roman" w:hAnsi="Calibri" w:cs="Times New Roman"/>
          <w:b/>
          <w:sz w:val="28"/>
          <w:szCs w:val="28"/>
        </w:rPr>
      </w:pPr>
      <w:r w:rsidRPr="00F84B01">
        <w:rPr>
          <w:rFonts w:ascii="Calibri" w:eastAsia="Times New Roman" w:hAnsi="Calibri" w:cs="Times New Roman"/>
          <w:b/>
          <w:sz w:val="28"/>
          <w:szCs w:val="28"/>
          <w:u w:val="single"/>
        </w:rPr>
        <w:t>Goal 2: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 xml:space="preserve"> Students demonstrate high levels of proficiency in oral and written communication and the ability to write persuasively an</w:t>
      </w:r>
      <w:r w:rsidR="00CB3F9B">
        <w:rPr>
          <w:rFonts w:ascii="Calibri" w:eastAsia="Times New Roman" w:hAnsi="Calibri" w:cs="Times New Roman"/>
          <w:b/>
          <w:sz w:val="28"/>
          <w:szCs w:val="28"/>
        </w:rPr>
        <w:t xml:space="preserve">d elegantly using the 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 xml:space="preserve">argumentation, </w:t>
      </w:r>
      <w:r w:rsidR="00CB3F9B">
        <w:rPr>
          <w:rFonts w:ascii="Calibri" w:eastAsia="Times New Roman" w:hAnsi="Calibri" w:cs="Times New Roman"/>
          <w:b/>
          <w:sz w:val="28"/>
          <w:szCs w:val="28"/>
        </w:rPr>
        <w:t xml:space="preserve">creativity, 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 xml:space="preserve">rhetoric, style, </w:t>
      </w:r>
      <w:r w:rsidR="004F2365">
        <w:rPr>
          <w:rFonts w:ascii="Calibri" w:eastAsia="Times New Roman" w:hAnsi="Calibri" w:cs="Times New Roman"/>
          <w:b/>
          <w:sz w:val="28"/>
          <w:szCs w:val="28"/>
        </w:rPr>
        <w:t xml:space="preserve">editing, 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>and bibliographic citation</w:t>
      </w:r>
      <w:r w:rsidR="004F2365">
        <w:rPr>
          <w:rFonts w:ascii="Calibri" w:eastAsia="Times New Roman" w:hAnsi="Calibri" w:cs="Times New Roman"/>
          <w:b/>
          <w:sz w:val="28"/>
          <w:szCs w:val="28"/>
        </w:rPr>
        <w:t xml:space="preserve"> appropriate to their areas of concentration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F84B01" w:rsidRPr="00F84B01" w:rsidRDefault="00F84B01" w:rsidP="00F84B01">
      <w:pPr>
        <w:spacing w:after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6120"/>
      </w:tblGrid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Methods: Means/Methods</w:t>
            </w:r>
          </w:p>
        </w:tc>
        <w:tc>
          <w:tcPr>
            <w:tcW w:w="6120" w:type="dxa"/>
            <w:vAlign w:val="bottom"/>
          </w:tcPr>
          <w:p w:rsidR="009B2F69" w:rsidRPr="00F84B01" w:rsidRDefault="004F2365" w:rsidP="004F236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Students take a “Methods” course in their area of conc</w:t>
            </w:r>
            <w:r w:rsidR="00B3645F">
              <w:rPr>
                <w:rFonts w:ascii="Calibri" w:eastAsia="Times New Roman" w:hAnsi="Calibri" w:cs="Calibri"/>
                <w:color w:val="000000"/>
              </w:rPr>
              <w:t xml:space="preserve">entration: 2298 (Literature, </w:t>
            </w:r>
            <w:r>
              <w:rPr>
                <w:rFonts w:ascii="Calibri" w:eastAsia="Times New Roman" w:hAnsi="Calibri" w:cs="Calibri"/>
                <w:color w:val="000000"/>
              </w:rPr>
              <w:t>Creative Writi</w:t>
            </w:r>
            <w:r w:rsidR="009A3B86">
              <w:rPr>
                <w:rFonts w:ascii="Calibri" w:eastAsia="Times New Roman" w:hAnsi="Calibri" w:cs="Calibri"/>
                <w:color w:val="000000"/>
              </w:rPr>
              <w:t>ng</w:t>
            </w:r>
            <w:r w:rsidR="00B3645F">
              <w:rPr>
                <w:rFonts w:ascii="Calibri" w:eastAsia="Times New Roman" w:hAnsi="Calibri" w:cs="Calibri"/>
                <w:color w:val="000000"/>
              </w:rPr>
              <w:t>, and Pre-Education</w:t>
            </w:r>
            <w:r w:rsidR="009A3B86">
              <w:rPr>
                <w:rFonts w:ascii="Calibri" w:eastAsia="Times New Roman" w:hAnsi="Calibri" w:cs="Calibri"/>
                <w:color w:val="000000"/>
              </w:rPr>
              <w:t>); 227</w:t>
            </w:r>
            <w:r w:rsidR="007D5D8C">
              <w:rPr>
                <w:rFonts w:ascii="Calibri" w:eastAsia="Times New Roman" w:hAnsi="Calibri" w:cs="Calibri"/>
                <w:color w:val="000000"/>
              </w:rPr>
              <w:t>9 (WRL); 2270 (Folklore)</w:t>
            </w:r>
            <w:r w:rsidR="007A6A9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Criteria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>Proficiency in reading and writing across many genres; production of assured and persuasive samples of writing clearly guided by the principles of activ</w:t>
            </w:r>
            <w:r w:rsidR="00CB3F9B">
              <w:rPr>
                <w:rFonts w:ascii="Calibri" w:eastAsia="Times New Roman" w:hAnsi="Calibri" w:cs="Calibri"/>
                <w:color w:val="000000"/>
              </w:rPr>
              <w:t>e engagement with texts</w:t>
            </w:r>
            <w:r w:rsidRPr="00F84B0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Planned Use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7A6A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 xml:space="preserve">Results and findings are considered and discussed in UGS committee and circulated among all </w:t>
            </w:r>
            <w:proofErr w:type="gramStart"/>
            <w:r w:rsidRPr="00F84B01">
              <w:rPr>
                <w:rFonts w:ascii="Calibri" w:eastAsia="Times New Roman" w:hAnsi="Calibri" w:cs="Calibri"/>
                <w:color w:val="000000"/>
              </w:rPr>
              <w:t>faculty</w:t>
            </w:r>
            <w:proofErr w:type="gramEnd"/>
            <w:r w:rsidRPr="00F84B01">
              <w:rPr>
                <w:rFonts w:ascii="Calibri" w:eastAsia="Times New Roman" w:hAnsi="Calibri" w:cs="Calibri"/>
                <w:color w:val="000000"/>
              </w:rPr>
              <w:t xml:space="preserve">. Discussions continue in English Department Council (EDC) meetings and </w:t>
            </w:r>
            <w:r w:rsidRPr="00F84B01">
              <w:rPr>
                <w:rFonts w:ascii="Calibri" w:eastAsia="Times New Roman" w:hAnsi="Calibri" w:cs="Calibri"/>
                <w:color w:val="000000"/>
              </w:rPr>
              <w:lastRenderedPageBreak/>
              <w:t>recommendations for curricular changes are made to the Chair for discussion by Executive Committee and future EDC meetings.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lastRenderedPageBreak/>
              <w:t>Implementation Schedule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>Ongoing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Evidence</w:t>
            </w:r>
          </w:p>
        </w:tc>
        <w:tc>
          <w:tcPr>
            <w:tcW w:w="6120" w:type="dxa"/>
            <w:vAlign w:val="bottom"/>
          </w:tcPr>
          <w:p w:rsidR="00F84B01" w:rsidRPr="00F84B01" w:rsidRDefault="004F2365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Random samples of student work are assessed against a grading rubric</w:t>
            </w:r>
            <w:r w:rsidR="007A6A9C">
              <w:rPr>
                <w:rFonts w:ascii="Calibri" w:eastAsia="Times New Roman" w:hAnsi="Calibri" w:cs="Calibri"/>
                <w:color w:val="000000"/>
              </w:rPr>
              <w:t xml:space="preserve"> (attached).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 xml:space="preserve">     Met Minimum Criteria?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ind w:left="288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Met Criteria for Excellence?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Review of Findings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Changes Made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Assessment of Changes Made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Next Steps</w:t>
            </w:r>
          </w:p>
        </w:tc>
        <w:tc>
          <w:tcPr>
            <w:tcW w:w="6120" w:type="dxa"/>
            <w:vAlign w:val="bottom"/>
          </w:tcPr>
          <w:p w:rsidR="00F84B01" w:rsidRPr="00F84B01" w:rsidRDefault="00C97723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Approval and implementation of new methods courses</w:t>
            </w:r>
            <w:r w:rsidR="007A6A9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F84B01" w:rsidRPr="00F84B01" w:rsidRDefault="00F84B01" w:rsidP="00F84B01">
      <w:pPr>
        <w:spacing w:after="0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F84B01" w:rsidRPr="00F84B01" w:rsidRDefault="00F84B01" w:rsidP="00F84B01">
      <w:pPr>
        <w:tabs>
          <w:tab w:val="left" w:pos="1665"/>
        </w:tabs>
        <w:spacing w:after="0"/>
        <w:rPr>
          <w:rFonts w:ascii="Calibri" w:eastAsia="Times New Roman" w:hAnsi="Calibri" w:cs="Times New Roman"/>
          <w:b/>
          <w:sz w:val="28"/>
          <w:szCs w:val="28"/>
        </w:rPr>
      </w:pPr>
      <w:r w:rsidRPr="00F84B01">
        <w:rPr>
          <w:rFonts w:ascii="Calibri" w:eastAsia="Times New Roman" w:hAnsi="Calibri" w:cs="Times New Roman"/>
          <w:b/>
          <w:sz w:val="28"/>
          <w:szCs w:val="28"/>
          <w:u w:val="single"/>
        </w:rPr>
        <w:t>Goal 3: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 xml:space="preserve">  Students display an informed awareness of different critical theories, methodologies a</w:t>
      </w:r>
      <w:r w:rsidR="00CB3F9B">
        <w:rPr>
          <w:rFonts w:ascii="Calibri" w:eastAsia="Times New Roman" w:hAnsi="Calibri" w:cs="Times New Roman"/>
          <w:b/>
          <w:sz w:val="28"/>
          <w:szCs w:val="28"/>
        </w:rPr>
        <w:t>nd approaches to studying texts;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 xml:space="preserve"> demonstrate skill in using the critical tools and terminologies needed to analyze and assess a range of texts</w:t>
      </w:r>
      <w:r w:rsidR="00CB3F9B">
        <w:rPr>
          <w:rFonts w:ascii="Calibri" w:eastAsia="Times New Roman" w:hAnsi="Calibri" w:cs="Times New Roman"/>
          <w:b/>
          <w:sz w:val="28"/>
          <w:szCs w:val="28"/>
        </w:rPr>
        <w:t>, including those produced by their peers;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 xml:space="preserve"> and the ability to identify the formal properties of texts as well as major literary forms and genres.</w:t>
      </w:r>
    </w:p>
    <w:p w:rsidR="00F84B01" w:rsidRPr="00F84B01" w:rsidRDefault="00F84B01" w:rsidP="00F84B01">
      <w:pPr>
        <w:spacing w:after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6120"/>
      </w:tblGrid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Methods: Means/Methods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0F04B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 xml:space="preserve">As part of our annual assessment of the English Department Undergraduate Program, we </w:t>
            </w:r>
            <w:r w:rsidR="000F04B4">
              <w:rPr>
                <w:rFonts w:ascii="Calibri" w:eastAsia="Times New Roman" w:hAnsi="Calibri" w:cs="Calibri"/>
                <w:color w:val="000000"/>
              </w:rPr>
              <w:t>assess the quality of the</w:t>
            </w:r>
            <w:r w:rsidRPr="00F84B01">
              <w:rPr>
                <w:rFonts w:ascii="Calibri" w:eastAsia="Times New Roman" w:hAnsi="Calibri" w:cs="Calibri"/>
                <w:color w:val="000000"/>
              </w:rPr>
              <w:t xml:space="preserve"> thesis component</w:t>
            </w:r>
            <w:r w:rsidR="000F04B4">
              <w:rPr>
                <w:rFonts w:ascii="Calibri" w:eastAsia="Times New Roman" w:hAnsi="Calibri" w:cs="Calibri"/>
                <w:color w:val="000000"/>
              </w:rPr>
              <w:t xml:space="preserve"> taken by a number of our majors</w:t>
            </w:r>
            <w:r w:rsidRPr="00F84B01">
              <w:rPr>
                <w:rFonts w:ascii="Calibri" w:eastAsia="Times New Roman" w:hAnsi="Calibri" w:cs="Calibri"/>
                <w:color w:val="000000"/>
              </w:rPr>
              <w:t>. Students are</w:t>
            </w:r>
            <w:r w:rsidR="00CE2870">
              <w:rPr>
                <w:rFonts w:ascii="Calibri" w:eastAsia="Times New Roman" w:hAnsi="Calibri" w:cs="Calibri"/>
                <w:color w:val="000000"/>
              </w:rPr>
              <w:t xml:space="preserve"> not required to write a</w:t>
            </w:r>
            <w:r w:rsidRPr="00F84B01">
              <w:rPr>
                <w:rFonts w:ascii="Calibri" w:eastAsia="Times New Roman" w:hAnsi="Calibri" w:cs="Calibri"/>
                <w:color w:val="000000"/>
              </w:rPr>
              <w:t xml:space="preserve"> thesis, but it is recommended when an individual expresses the desire to continue on to a postgraduate degree in</w:t>
            </w:r>
            <w:r w:rsidR="000F04B4">
              <w:rPr>
                <w:rFonts w:ascii="Calibri" w:eastAsia="Times New Roman" w:hAnsi="Calibri" w:cs="Calibri"/>
                <w:color w:val="000000"/>
              </w:rPr>
              <w:t xml:space="preserve"> any field of</w:t>
            </w:r>
            <w:r w:rsidRPr="00F84B01">
              <w:rPr>
                <w:rFonts w:ascii="Calibri" w:eastAsia="Times New Roman" w:hAnsi="Calibri" w:cs="Calibri"/>
                <w:color w:val="000000"/>
              </w:rPr>
              <w:t xml:space="preserve"> English</w:t>
            </w:r>
            <w:r w:rsidR="000F04B4">
              <w:rPr>
                <w:rFonts w:ascii="Calibri" w:eastAsia="Times New Roman" w:hAnsi="Calibri" w:cs="Calibri"/>
                <w:color w:val="000000"/>
              </w:rPr>
              <w:t xml:space="preserve"> studies, including Creative Writing</w:t>
            </w:r>
            <w:r w:rsidRPr="00F84B01">
              <w:rPr>
                <w:rFonts w:ascii="Calibri" w:eastAsia="Times New Roman" w:hAnsi="Calibri" w:cs="Calibri"/>
                <w:color w:val="000000"/>
              </w:rPr>
              <w:t>. In under</w:t>
            </w:r>
            <w:r w:rsidR="000F04B4">
              <w:rPr>
                <w:rFonts w:ascii="Calibri" w:eastAsia="Times New Roman" w:hAnsi="Calibri" w:cs="Calibri"/>
                <w:color w:val="000000"/>
              </w:rPr>
              <w:t>taking this assessment, we ask</w:t>
            </w:r>
            <w:r w:rsidRPr="00F84B01">
              <w:rPr>
                <w:rFonts w:ascii="Calibri" w:eastAsia="Times New Roman" w:hAnsi="Calibri" w:cs="Calibri"/>
                <w:color w:val="000000"/>
              </w:rPr>
              <w:t xml:space="preserve"> all faculty</w:t>
            </w:r>
            <w:r w:rsidR="000F04B4">
              <w:rPr>
                <w:rFonts w:ascii="Calibri" w:eastAsia="Times New Roman" w:hAnsi="Calibri" w:cs="Calibri"/>
                <w:color w:val="000000"/>
              </w:rPr>
              <w:t xml:space="preserve"> members who directed a </w:t>
            </w:r>
            <w:r w:rsidRPr="00F84B01">
              <w:rPr>
                <w:rFonts w:ascii="Calibri" w:eastAsia="Times New Roman" w:hAnsi="Calibri" w:cs="Calibri"/>
                <w:color w:val="000000"/>
              </w:rPr>
              <w:t xml:space="preserve">thesis to answer </w:t>
            </w:r>
            <w:r w:rsidR="000F04B4">
              <w:rPr>
                <w:rFonts w:ascii="Calibri" w:eastAsia="Times New Roman" w:hAnsi="Calibri" w:cs="Calibri"/>
                <w:color w:val="000000"/>
              </w:rPr>
              <w:t>specific questions regarding the writer’s ability to present critical or creative ideas and to respond to suggestions from the advisor.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Criteria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>Undergraduate</w:t>
            </w:r>
            <w:r w:rsidR="000F04B4">
              <w:rPr>
                <w:rFonts w:ascii="Calibri" w:eastAsia="Times New Roman" w:hAnsi="Calibri" w:cs="Calibri"/>
                <w:color w:val="000000"/>
              </w:rPr>
              <w:t>s</w:t>
            </w:r>
            <w:r w:rsidRPr="00F84B01">
              <w:rPr>
                <w:rFonts w:ascii="Calibri" w:eastAsia="Times New Roman" w:hAnsi="Calibri" w:cs="Calibri"/>
                <w:color w:val="000000"/>
              </w:rPr>
              <w:t xml:space="preserve"> attain the central skills and tools associated </w:t>
            </w:r>
            <w:r w:rsidR="000F04B4">
              <w:rPr>
                <w:rFonts w:ascii="Calibri" w:eastAsia="Times New Roman" w:hAnsi="Calibri" w:cs="Calibri"/>
                <w:color w:val="000000"/>
              </w:rPr>
              <w:t>with their chosen concentration</w:t>
            </w:r>
            <w:r w:rsidRPr="00F84B01">
              <w:rPr>
                <w:rFonts w:ascii="Calibri" w:eastAsia="Times New Roman" w:hAnsi="Calibri" w:cs="Calibri"/>
                <w:color w:val="000000"/>
              </w:rPr>
              <w:t>.  Students are effectively guided by faculty members in this enterprise.</w:t>
            </w:r>
          </w:p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Planned Use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 xml:space="preserve">Results and findings are considered and discussed in UGS committee and circulated among all </w:t>
            </w:r>
            <w:proofErr w:type="gramStart"/>
            <w:r w:rsidRPr="00F84B01">
              <w:rPr>
                <w:rFonts w:ascii="Calibri" w:eastAsia="Times New Roman" w:hAnsi="Calibri" w:cs="Calibri"/>
                <w:color w:val="000000"/>
              </w:rPr>
              <w:t>faculty</w:t>
            </w:r>
            <w:proofErr w:type="gramEnd"/>
            <w:r w:rsidRPr="00F84B01">
              <w:rPr>
                <w:rFonts w:ascii="Calibri" w:eastAsia="Times New Roman" w:hAnsi="Calibri" w:cs="Calibri"/>
                <w:color w:val="000000"/>
              </w:rPr>
              <w:t>. Discussions continue in English Department Council (EDC) meetings and recommendations for curricular changes are made to the Chair for discussion by Executive Committee and future EDC meetings.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Implementation Schedule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>Ongoing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Evidence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 xml:space="preserve">     Met Minimum Criteria?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ind w:left="288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Met Criteria for Excellence?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Review of Findings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lastRenderedPageBreak/>
              <w:t>Changes Made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Assessment of Changes Made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Next Steps</w:t>
            </w:r>
          </w:p>
        </w:tc>
        <w:tc>
          <w:tcPr>
            <w:tcW w:w="6120" w:type="dxa"/>
            <w:vAlign w:val="bottom"/>
          </w:tcPr>
          <w:p w:rsidR="00F84B01" w:rsidRPr="00F84B01" w:rsidRDefault="006E3739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Provide in</w:t>
            </w:r>
            <w:r w:rsidR="000F04B4">
              <w:rPr>
                <w:rFonts w:ascii="Calibri" w:eastAsia="Times New Roman" w:hAnsi="Calibri" w:cs="Calibri"/>
                <w:color w:val="000000"/>
              </w:rPr>
              <w:t>centives for more English majors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 work on thesis projects in all concentrations</w:t>
            </w:r>
            <w:r w:rsidR="007A6A9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F84B01" w:rsidRPr="00F84B01" w:rsidRDefault="00F84B01" w:rsidP="00F84B01">
      <w:pPr>
        <w:tabs>
          <w:tab w:val="left" w:pos="1665"/>
        </w:tabs>
        <w:spacing w:after="0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F84B01" w:rsidRPr="00F84B01" w:rsidRDefault="00F84B01" w:rsidP="00F84B01">
      <w:pPr>
        <w:tabs>
          <w:tab w:val="left" w:pos="1665"/>
        </w:tabs>
        <w:spacing w:after="0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F84B01" w:rsidRPr="00F84B01" w:rsidRDefault="00F84B01" w:rsidP="00F84B01">
      <w:pPr>
        <w:tabs>
          <w:tab w:val="left" w:pos="1665"/>
        </w:tabs>
        <w:spacing w:after="0"/>
        <w:rPr>
          <w:rFonts w:ascii="Calibri" w:eastAsia="Times New Roman" w:hAnsi="Calibri" w:cs="Times New Roman"/>
          <w:b/>
          <w:sz w:val="28"/>
          <w:szCs w:val="28"/>
        </w:rPr>
      </w:pPr>
      <w:r w:rsidRPr="00F84B01">
        <w:rPr>
          <w:rFonts w:ascii="Calibri" w:eastAsia="Times New Roman" w:hAnsi="Calibri" w:cs="Times New Roman"/>
          <w:b/>
          <w:sz w:val="28"/>
          <w:szCs w:val="28"/>
          <w:u w:val="single"/>
        </w:rPr>
        <w:t>Goal 4:</w:t>
      </w:r>
      <w:r w:rsidR="007D5D8C">
        <w:rPr>
          <w:rFonts w:ascii="Calibri" w:eastAsia="Times New Roman" w:hAnsi="Calibri" w:cs="Times New Roman"/>
          <w:b/>
          <w:sz w:val="28"/>
          <w:szCs w:val="28"/>
        </w:rPr>
        <w:t xml:space="preserve">  By graduation</w:t>
      </w:r>
      <w:r w:rsidR="00675B91">
        <w:rPr>
          <w:rFonts w:ascii="Calibri" w:eastAsia="Times New Roman" w:hAnsi="Calibri" w:cs="Times New Roman"/>
          <w:b/>
          <w:sz w:val="28"/>
          <w:szCs w:val="28"/>
        </w:rPr>
        <w:t>, s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>tudents</w:t>
      </w:r>
      <w:r w:rsidR="00675B91">
        <w:rPr>
          <w:rFonts w:ascii="Calibri" w:eastAsia="Times New Roman" w:hAnsi="Calibri" w:cs="Times New Roman"/>
          <w:b/>
          <w:sz w:val="28"/>
          <w:szCs w:val="28"/>
        </w:rPr>
        <w:t xml:space="preserve"> demonstrate the knowledge, skills, and independent thinking necessary to produce a substantial proj</w:t>
      </w:r>
      <w:r w:rsidR="007D5D8C">
        <w:rPr>
          <w:rFonts w:ascii="Calibri" w:eastAsia="Times New Roman" w:hAnsi="Calibri" w:cs="Times New Roman"/>
          <w:b/>
          <w:sz w:val="28"/>
          <w:szCs w:val="28"/>
        </w:rPr>
        <w:t xml:space="preserve">ect appropriate to their </w:t>
      </w:r>
      <w:r w:rsidR="00675B91">
        <w:rPr>
          <w:rFonts w:ascii="Calibri" w:eastAsia="Times New Roman" w:hAnsi="Calibri" w:cs="Times New Roman"/>
          <w:b/>
          <w:sz w:val="28"/>
          <w:szCs w:val="28"/>
        </w:rPr>
        <w:t>concentrations</w:t>
      </w:r>
      <w:r w:rsidR="007D5D8C">
        <w:rPr>
          <w:rFonts w:ascii="Calibri" w:eastAsia="Times New Roman" w:hAnsi="Calibri" w:cs="Times New Roman"/>
          <w:b/>
          <w:sz w:val="28"/>
          <w:szCs w:val="28"/>
        </w:rPr>
        <w:t xml:space="preserve"> and to be successful in their chosen career paths</w:t>
      </w:r>
      <w:r w:rsidRPr="00F84B01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F84B01" w:rsidRPr="00F84B01" w:rsidRDefault="00F84B01" w:rsidP="00F84B01">
      <w:pPr>
        <w:spacing w:after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6120"/>
      </w:tblGrid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Methods: Means/Methods</w:t>
            </w:r>
          </w:p>
        </w:tc>
        <w:tc>
          <w:tcPr>
            <w:tcW w:w="6120" w:type="dxa"/>
            <w:vAlign w:val="bottom"/>
          </w:tcPr>
          <w:p w:rsidR="00F84B01" w:rsidRPr="00F84B01" w:rsidRDefault="00C97723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The department reviews enrollment data, including the number of majors and time to graduation. </w:t>
            </w:r>
            <w:r w:rsidR="00F84B01" w:rsidRPr="00F84B01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0F04B4">
              <w:rPr>
                <w:rFonts w:ascii="Calibri" w:eastAsia="Times New Roman" w:hAnsi="Calibri" w:cs="Calibri"/>
                <w:color w:val="000000"/>
              </w:rPr>
              <w:t>department reviews the ASC</w:t>
            </w:r>
            <w:r w:rsidR="00F84B01" w:rsidRPr="00F84B01">
              <w:rPr>
                <w:rFonts w:ascii="Calibri" w:eastAsia="Times New Roman" w:hAnsi="Calibri" w:cs="Calibri"/>
                <w:color w:val="000000"/>
              </w:rPr>
              <w:t xml:space="preserve"> annual exit survey of graduating English majors focusing on responses to discipline-specific questions.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The department collects data on job/graduate placement on recent graduates.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Criteria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> </w:t>
            </w:r>
            <w:r w:rsidR="007D5D8C">
              <w:rPr>
                <w:rFonts w:ascii="Calibri" w:eastAsia="Times New Roman" w:hAnsi="Calibri" w:cs="Calibri"/>
                <w:color w:val="000000"/>
              </w:rPr>
              <w:t>Students build on learning from lower-level courses to produce quality work of intellectual sophistication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Planned Use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 xml:space="preserve">Results and findings are considered and discussed in UGS committee and circulated among all </w:t>
            </w:r>
            <w:proofErr w:type="gramStart"/>
            <w:r w:rsidRPr="00F84B01">
              <w:rPr>
                <w:rFonts w:ascii="Calibri" w:eastAsia="Times New Roman" w:hAnsi="Calibri" w:cs="Calibri"/>
                <w:color w:val="000000"/>
              </w:rPr>
              <w:t>faculty</w:t>
            </w:r>
            <w:proofErr w:type="gramEnd"/>
            <w:r w:rsidRPr="00F84B01">
              <w:rPr>
                <w:rFonts w:ascii="Calibri" w:eastAsia="Times New Roman" w:hAnsi="Calibri" w:cs="Calibri"/>
                <w:color w:val="000000"/>
              </w:rPr>
              <w:t>. Discussions continue in English Department Council (EDC) meetings and recommendations for curricular changes are made to the Chair for discussion by Executive Committee and future EDC meetings.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Implementation Schedule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84B01">
              <w:rPr>
                <w:rFonts w:ascii="Calibri" w:eastAsia="Times New Roman" w:hAnsi="Calibri" w:cs="Calibri"/>
                <w:color w:val="000000"/>
              </w:rPr>
              <w:t>Ongoing</w:t>
            </w: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Evidence</w:t>
            </w:r>
          </w:p>
        </w:tc>
        <w:tc>
          <w:tcPr>
            <w:tcW w:w="6120" w:type="dxa"/>
            <w:vAlign w:val="bottom"/>
          </w:tcPr>
          <w:p w:rsidR="00F84B01" w:rsidRPr="00F84B01" w:rsidRDefault="00C97723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Random samples of student work are assessed against a grading rubric and compared with results for Methods course to ensure continuous learning</w:t>
            </w:r>
            <w:r w:rsidR="007A6A9C">
              <w:rPr>
                <w:rFonts w:ascii="Calibri" w:eastAsia="Times New Roman" w:hAnsi="Calibri" w:cs="Calibri"/>
                <w:color w:val="000000"/>
              </w:rPr>
              <w:t>.</w:t>
            </w:r>
            <w:bookmarkStart w:id="0" w:name="_GoBack"/>
            <w:bookmarkEnd w:id="0"/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 xml:space="preserve">     Met Minimum Criteria?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ind w:left="288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Met Criteria for Excellence?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Review of Findings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Changes Made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Assessment of Changes Made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4B01" w:rsidRPr="00F84B01" w:rsidTr="00AA3F0B">
        <w:tc>
          <w:tcPr>
            <w:tcW w:w="3060" w:type="dxa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Times New Roman"/>
                <w:b/>
              </w:rPr>
            </w:pPr>
            <w:r w:rsidRPr="00F84B01">
              <w:rPr>
                <w:rFonts w:ascii="Calibri" w:eastAsia="Times New Roman" w:hAnsi="Calibri" w:cs="Times New Roman"/>
                <w:b/>
              </w:rPr>
              <w:t>Next Steps</w:t>
            </w:r>
          </w:p>
        </w:tc>
        <w:tc>
          <w:tcPr>
            <w:tcW w:w="6120" w:type="dxa"/>
            <w:vAlign w:val="bottom"/>
          </w:tcPr>
          <w:p w:rsidR="00F84B01" w:rsidRPr="00F84B01" w:rsidRDefault="00F84B01" w:rsidP="00F84B0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84B01" w:rsidRPr="00F84B01" w:rsidRDefault="00F84B01" w:rsidP="00F84B01">
      <w:pPr>
        <w:spacing w:after="0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6A4D88" w:rsidRDefault="00BB0C69"/>
    <w:sectPr w:rsidR="006A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01"/>
    <w:rsid w:val="0005569C"/>
    <w:rsid w:val="000F04B4"/>
    <w:rsid w:val="00252571"/>
    <w:rsid w:val="003342F5"/>
    <w:rsid w:val="004F2365"/>
    <w:rsid w:val="00675B91"/>
    <w:rsid w:val="00693AD1"/>
    <w:rsid w:val="006E3739"/>
    <w:rsid w:val="00753D00"/>
    <w:rsid w:val="007A6A9C"/>
    <w:rsid w:val="007D5D8C"/>
    <w:rsid w:val="00875907"/>
    <w:rsid w:val="009A3B86"/>
    <w:rsid w:val="009B2F69"/>
    <w:rsid w:val="009D583C"/>
    <w:rsid w:val="00A42B40"/>
    <w:rsid w:val="00B3645F"/>
    <w:rsid w:val="00B7236F"/>
    <w:rsid w:val="00C91C65"/>
    <w:rsid w:val="00C97723"/>
    <w:rsid w:val="00CB3F9B"/>
    <w:rsid w:val="00CE2870"/>
    <w:rsid w:val="00D84AD0"/>
    <w:rsid w:val="00E01790"/>
    <w:rsid w:val="00F84B01"/>
    <w:rsid w:val="00F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B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B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Lowry</dc:creator>
  <cp:lastModifiedBy>Debra Lowry</cp:lastModifiedBy>
  <cp:revision>2</cp:revision>
  <cp:lastPrinted>2013-12-10T18:18:00Z</cp:lastPrinted>
  <dcterms:created xsi:type="dcterms:W3CDTF">2013-12-16T16:29:00Z</dcterms:created>
  <dcterms:modified xsi:type="dcterms:W3CDTF">2013-12-16T16:29:00Z</dcterms:modified>
</cp:coreProperties>
</file>